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D814D" w14:textId="77777777" w:rsidR="006B0BBC" w:rsidRDefault="006B0BBC">
      <w:pPr>
        <w:spacing w:line="240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1F0645C2" w14:textId="77777777" w:rsidR="006B0BBC" w:rsidRPr="00C20F7A" w:rsidRDefault="00000000">
      <w:pPr>
        <w:spacing w:line="24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  <w:r w:rsidRPr="00C20F7A">
        <w:rPr>
          <w:rFonts w:ascii="Arial" w:eastAsia="Arial" w:hAnsi="Arial" w:cs="Arial"/>
          <w:b/>
          <w:bCs/>
          <w:sz w:val="36"/>
          <w:szCs w:val="36"/>
        </w:rPr>
        <w:t>Pesquisadora Elisa Pereira leva ao Futurecom estudo de Stanford que aponta caminhos para transformar IA em valor nas empresas</w:t>
      </w:r>
    </w:p>
    <w:p w14:paraId="4EAEF4B3" w14:textId="77777777" w:rsidR="006B0BBC" w:rsidRDefault="006B0BBC">
      <w:pPr>
        <w:spacing w:line="240" w:lineRule="auto"/>
        <w:jc w:val="center"/>
        <w:rPr>
          <w:rFonts w:ascii="Arial" w:eastAsia="Arial" w:hAnsi="Arial" w:cs="Arial"/>
          <w:b/>
          <w:bCs/>
        </w:rPr>
      </w:pPr>
    </w:p>
    <w:p w14:paraId="28EE4CF9" w14:textId="77777777" w:rsidR="006B0BBC" w:rsidRDefault="00000000">
      <w:pPr>
        <w:spacing w:line="240" w:lineRule="auto"/>
        <w:jc w:val="center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Análise de casos reais revela que 77% dos desafios para colocar a IA em prática vão além da tecnologia e envolvem pessoas e processos</w:t>
      </w:r>
    </w:p>
    <w:p w14:paraId="590BAD0B" w14:textId="77777777" w:rsidR="006B0BBC" w:rsidRDefault="006B0BBC">
      <w:pPr>
        <w:spacing w:line="240" w:lineRule="auto"/>
        <w:jc w:val="center"/>
        <w:rPr>
          <w:rFonts w:ascii="Arial" w:eastAsia="Arial" w:hAnsi="Arial" w:cs="Arial"/>
          <w:i/>
          <w:iCs/>
        </w:rPr>
      </w:pPr>
    </w:p>
    <w:p w14:paraId="2FFA6EDE" w14:textId="77777777" w:rsidR="006B0BBC" w:rsidRDefault="00000000">
      <w:pPr>
        <w:spacing w:line="240" w:lineRule="auto"/>
        <w:jc w:val="center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  <w:noProof/>
        </w:rPr>
        <w:drawing>
          <wp:inline distT="0" distB="0" distL="0" distR="0" wp14:anchorId="6E4B098E" wp14:editId="4FBA7DE0">
            <wp:extent cx="1269288" cy="1903562"/>
            <wp:effectExtent l="0" t="0" r="0" b="0"/>
            <wp:docPr id="191974256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9288" cy="19035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7BF565" w14:textId="77777777" w:rsidR="006B0BBC" w:rsidRDefault="006B0BBC">
      <w:pPr>
        <w:spacing w:line="240" w:lineRule="auto"/>
        <w:jc w:val="center"/>
        <w:rPr>
          <w:rFonts w:ascii="Arial" w:eastAsia="Arial" w:hAnsi="Arial" w:cs="Arial"/>
          <w:i/>
          <w:iCs/>
        </w:rPr>
      </w:pPr>
    </w:p>
    <w:p w14:paraId="6F81E6C0" w14:textId="77777777" w:rsidR="006B0BBC" w:rsidRDefault="006B0BBC">
      <w:pPr>
        <w:spacing w:line="240" w:lineRule="auto"/>
        <w:rPr>
          <w:rFonts w:ascii="Arial" w:eastAsia="Arial" w:hAnsi="Arial" w:cs="Arial"/>
        </w:rPr>
      </w:pPr>
    </w:p>
    <w:p w14:paraId="0F126825" w14:textId="77777777" w:rsidR="00717DC1" w:rsidRDefault="00000000" w:rsidP="00717DC1">
      <w:pPr>
        <w:spacing w:line="240" w:lineRule="auto"/>
        <w:ind w:firstLine="70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São Paulo, setembro de 2026</w:t>
      </w:r>
      <w:r>
        <w:rPr>
          <w:rFonts w:ascii="Arial" w:eastAsia="Arial" w:hAnsi="Arial" w:cs="Arial"/>
        </w:rPr>
        <w:t xml:space="preserve"> – </w:t>
      </w:r>
      <w:r w:rsidR="00717DC1" w:rsidRPr="00717DC1">
        <w:rPr>
          <w:rFonts w:ascii="Arial" w:eastAsia="Arial" w:hAnsi="Arial" w:cs="Arial"/>
        </w:rPr>
        <w:t xml:space="preserve">A pesquisadora brasileira </w:t>
      </w:r>
      <w:r w:rsidR="00717DC1" w:rsidRPr="00717DC1">
        <w:rPr>
          <w:rFonts w:ascii="Arial" w:eastAsia="Arial" w:hAnsi="Arial" w:cs="Arial"/>
          <w:b/>
          <w:bCs/>
        </w:rPr>
        <w:t>Elisa Pereira</w:t>
      </w:r>
      <w:r w:rsidR="00717DC1" w:rsidRPr="00717DC1">
        <w:rPr>
          <w:rFonts w:ascii="Arial" w:eastAsia="Arial" w:hAnsi="Arial" w:cs="Arial"/>
        </w:rPr>
        <w:t xml:space="preserve">, que estuda em Stanford como transformar o avanço da inteligência artificial em resultados concretos para as empresas, está confirmada como </w:t>
      </w:r>
      <w:proofErr w:type="spellStart"/>
      <w:r w:rsidR="00717DC1" w:rsidRPr="00717DC1">
        <w:rPr>
          <w:rFonts w:ascii="Arial" w:eastAsia="Arial" w:hAnsi="Arial" w:cs="Arial"/>
        </w:rPr>
        <w:t>keynote</w:t>
      </w:r>
      <w:proofErr w:type="spellEnd"/>
      <w:r w:rsidR="00717DC1" w:rsidRPr="00717DC1">
        <w:rPr>
          <w:rFonts w:ascii="Arial" w:eastAsia="Arial" w:hAnsi="Arial" w:cs="Arial"/>
        </w:rPr>
        <w:t xml:space="preserve"> speaker do </w:t>
      </w:r>
      <w:r w:rsidR="00717DC1" w:rsidRPr="00717DC1">
        <w:rPr>
          <w:rFonts w:ascii="Arial" w:eastAsia="Arial" w:hAnsi="Arial" w:cs="Arial"/>
          <w:b/>
          <w:bCs/>
        </w:rPr>
        <w:t>Futurecom 2026</w:t>
      </w:r>
      <w:r w:rsidR="00717DC1" w:rsidRPr="00717DC1">
        <w:rPr>
          <w:rFonts w:ascii="Arial" w:eastAsia="Arial" w:hAnsi="Arial" w:cs="Arial"/>
        </w:rPr>
        <w:t xml:space="preserve">. O evento será realizado </w:t>
      </w:r>
      <w:r w:rsidR="00717DC1" w:rsidRPr="00717DC1">
        <w:rPr>
          <w:rFonts w:ascii="Arial" w:eastAsia="Arial" w:hAnsi="Arial" w:cs="Arial"/>
          <w:b/>
          <w:bCs/>
        </w:rPr>
        <w:t>de 6 a 8 de outubro, no São Paulo Expo</w:t>
      </w:r>
      <w:r w:rsidR="00717DC1" w:rsidRPr="00717DC1">
        <w:rPr>
          <w:rFonts w:ascii="Arial" w:eastAsia="Arial" w:hAnsi="Arial" w:cs="Arial"/>
        </w:rPr>
        <w:t>.</w:t>
      </w:r>
    </w:p>
    <w:p w14:paraId="2673E522" w14:textId="77777777" w:rsidR="00717DC1" w:rsidRP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</w:p>
    <w:p w14:paraId="503203FF" w14:textId="77777777" w:rsid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  <w:r w:rsidRPr="00717DC1">
        <w:rPr>
          <w:rFonts w:ascii="Arial" w:eastAsia="Arial" w:hAnsi="Arial" w:cs="Arial"/>
        </w:rPr>
        <w:t xml:space="preserve">No </w:t>
      </w:r>
      <w:r w:rsidRPr="00717DC1">
        <w:rPr>
          <w:rFonts w:ascii="Arial" w:eastAsia="Arial" w:hAnsi="Arial" w:cs="Arial"/>
          <w:b/>
          <w:bCs/>
        </w:rPr>
        <w:t>dia 7 de outubro, às 16h30</w:t>
      </w:r>
      <w:r w:rsidRPr="00717DC1">
        <w:rPr>
          <w:rFonts w:ascii="Arial" w:eastAsia="Arial" w:hAnsi="Arial" w:cs="Arial"/>
        </w:rPr>
        <w:t xml:space="preserve">, Elisa apresentará a palestra </w:t>
      </w:r>
      <w:r w:rsidRPr="00717DC1">
        <w:rPr>
          <w:rFonts w:ascii="Arial" w:eastAsia="Arial" w:hAnsi="Arial" w:cs="Arial"/>
          <w:b/>
          <w:bCs/>
        </w:rPr>
        <w:t xml:space="preserve">“Muito além do AI </w:t>
      </w:r>
      <w:proofErr w:type="spellStart"/>
      <w:r w:rsidRPr="00717DC1">
        <w:rPr>
          <w:rFonts w:ascii="Arial" w:eastAsia="Arial" w:hAnsi="Arial" w:cs="Arial"/>
          <w:b/>
          <w:bCs/>
        </w:rPr>
        <w:t>washing</w:t>
      </w:r>
      <w:proofErr w:type="spellEnd"/>
      <w:r w:rsidRPr="00717DC1">
        <w:rPr>
          <w:rFonts w:ascii="Arial" w:eastAsia="Arial" w:hAnsi="Arial" w:cs="Arial"/>
          <w:b/>
          <w:bCs/>
        </w:rPr>
        <w:t>: lições de 51 aplicações bem-sucedidas”</w:t>
      </w:r>
      <w:r w:rsidRPr="00717DC1">
        <w:rPr>
          <w:rFonts w:ascii="Arial" w:eastAsia="Arial" w:hAnsi="Arial" w:cs="Arial"/>
        </w:rPr>
        <w:t xml:space="preserve">, baseada no </w:t>
      </w:r>
      <w:r w:rsidRPr="00717DC1">
        <w:rPr>
          <w:rFonts w:ascii="Arial" w:eastAsia="Arial" w:hAnsi="Arial" w:cs="Arial"/>
          <w:i/>
          <w:iCs/>
        </w:rPr>
        <w:t xml:space="preserve">Enterprise AI </w:t>
      </w:r>
      <w:proofErr w:type="spellStart"/>
      <w:r w:rsidRPr="00717DC1">
        <w:rPr>
          <w:rFonts w:ascii="Arial" w:eastAsia="Arial" w:hAnsi="Arial" w:cs="Arial"/>
          <w:i/>
          <w:iCs/>
        </w:rPr>
        <w:t>Playbook</w:t>
      </w:r>
      <w:proofErr w:type="spellEnd"/>
      <w:r w:rsidRPr="00717DC1">
        <w:rPr>
          <w:rFonts w:ascii="Arial" w:eastAsia="Arial" w:hAnsi="Arial" w:cs="Arial"/>
        </w:rPr>
        <w:t xml:space="preserve">, pesquisa desenvolvida com Erik </w:t>
      </w:r>
      <w:proofErr w:type="spellStart"/>
      <w:r w:rsidRPr="00717DC1">
        <w:rPr>
          <w:rFonts w:ascii="Arial" w:eastAsia="Arial" w:hAnsi="Arial" w:cs="Arial"/>
        </w:rPr>
        <w:t>Brynjolfsson</w:t>
      </w:r>
      <w:proofErr w:type="spellEnd"/>
      <w:r w:rsidRPr="00717DC1">
        <w:rPr>
          <w:rFonts w:ascii="Arial" w:eastAsia="Arial" w:hAnsi="Arial" w:cs="Arial"/>
        </w:rPr>
        <w:t xml:space="preserve"> e Alvin Wang </w:t>
      </w:r>
      <w:proofErr w:type="spellStart"/>
      <w:r w:rsidRPr="00717DC1">
        <w:rPr>
          <w:rFonts w:ascii="Arial" w:eastAsia="Arial" w:hAnsi="Arial" w:cs="Arial"/>
        </w:rPr>
        <w:t>Graylin</w:t>
      </w:r>
      <w:proofErr w:type="spellEnd"/>
      <w:r w:rsidRPr="00717DC1">
        <w:rPr>
          <w:rFonts w:ascii="Arial" w:eastAsia="Arial" w:hAnsi="Arial" w:cs="Arial"/>
        </w:rPr>
        <w:t>. O estudo analisou 51 implementações que geraram valor mensurável em 41 organizações, de nove setores e sete países, e identificou que 77% dos desafios mais difíceis enfrentados pelas empresas não eram técnicos, mas estavam relacionados a gestão da mudança, qualidade dos dados, processos, incentivos e comportamento organizacional.</w:t>
      </w:r>
    </w:p>
    <w:p w14:paraId="328A0F08" w14:textId="77777777" w:rsidR="00717DC1" w:rsidRP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</w:p>
    <w:p w14:paraId="29D01C17" w14:textId="77777777" w:rsid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  <w:r w:rsidRPr="00717DC1">
        <w:rPr>
          <w:rFonts w:ascii="Arial" w:eastAsia="Arial" w:hAnsi="Arial" w:cs="Arial"/>
        </w:rPr>
        <w:t>Outro resultado chama a atenção: 61% das implementações bem-sucedidas já haviam passado por uma tentativa anterior que não funcionou. A análise mostra que a capacidade de aprender com os erros, rever processos e envolver a liderança pode ser tão determinante para os resultados quanto a própria tecnologia.</w:t>
      </w:r>
    </w:p>
    <w:p w14:paraId="4F906A90" w14:textId="77777777" w:rsidR="00717DC1" w:rsidRP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</w:p>
    <w:p w14:paraId="2FD258A7" w14:textId="77777777" w:rsid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  <w:r w:rsidRPr="00717DC1">
        <w:rPr>
          <w:rFonts w:ascii="Arial" w:eastAsia="Arial" w:hAnsi="Arial" w:cs="Arial"/>
        </w:rPr>
        <w:t>Os resultados mostram ainda que o modelo de IA escolhido nem sempre é decisivo para o sucesso de um projeto. Em 42% das implementações analisadas, diferentes modelos poderiam ter sido utilizados sem alterar o resultado. A resistência à adoção da tecnologia também nem sempre partiu de quem a utiliza. Em 35% dos casos, as principais barreiras surgiram em áreas de apoio, como Jurídico, RH, Risco e Compliance.</w:t>
      </w:r>
    </w:p>
    <w:p w14:paraId="2545BA0E" w14:textId="77777777" w:rsidR="00717DC1" w:rsidRP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</w:p>
    <w:p w14:paraId="339FBE48" w14:textId="77777777" w:rsid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  <w:r w:rsidRPr="00717DC1">
        <w:rPr>
          <w:rFonts w:ascii="Arial" w:eastAsia="Arial" w:hAnsi="Arial" w:cs="Arial"/>
        </w:rPr>
        <w:t>A partir desses casos reais, Elisa mostrará por que empresas com acesso a tecnologias semelhantes podem alcançar resultados completamente diferentes e quais fatores permitem transformar experimentação em aplicações capazes de ganhar escala e gerar impacto mensurável para o negócio.</w:t>
      </w:r>
    </w:p>
    <w:p w14:paraId="4498C656" w14:textId="77777777" w:rsidR="00717DC1" w:rsidRP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</w:p>
    <w:p w14:paraId="1253B22A" w14:textId="50B390F7" w:rsid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  <w:r w:rsidRPr="00717DC1">
        <w:rPr>
          <w:rFonts w:ascii="Arial" w:eastAsia="Arial" w:hAnsi="Arial" w:cs="Arial"/>
        </w:rPr>
        <w:t xml:space="preserve">Além de apresentar os resultados da pesquisa, Elisa </w:t>
      </w:r>
      <w:r w:rsidRPr="00717DC1">
        <w:rPr>
          <w:rFonts w:ascii="Arial" w:eastAsia="Arial" w:hAnsi="Arial" w:cs="Arial"/>
        </w:rPr>
        <w:t>também estará</w:t>
      </w:r>
      <w:r>
        <w:rPr>
          <w:rFonts w:ascii="Arial" w:eastAsia="Arial" w:hAnsi="Arial" w:cs="Arial"/>
          <w:b/>
          <w:bCs/>
        </w:rPr>
        <w:t xml:space="preserve"> </w:t>
      </w:r>
      <w:r w:rsidRPr="00717DC1">
        <w:rPr>
          <w:rFonts w:ascii="Arial" w:eastAsia="Arial" w:hAnsi="Arial" w:cs="Arial"/>
        </w:rPr>
        <w:t xml:space="preserve">no painel </w:t>
      </w:r>
      <w:r w:rsidRPr="00717DC1">
        <w:rPr>
          <w:rFonts w:ascii="Arial" w:eastAsia="Arial" w:hAnsi="Arial" w:cs="Arial"/>
          <w:b/>
          <w:bCs/>
        </w:rPr>
        <w:t>“</w:t>
      </w:r>
      <w:proofErr w:type="spellStart"/>
      <w:r w:rsidRPr="00717DC1">
        <w:rPr>
          <w:rFonts w:ascii="Arial" w:eastAsia="Arial" w:hAnsi="Arial" w:cs="Arial"/>
          <w:b/>
          <w:bCs/>
        </w:rPr>
        <w:t>Agentic</w:t>
      </w:r>
      <w:proofErr w:type="spellEnd"/>
      <w:r w:rsidRPr="00717DC1">
        <w:rPr>
          <w:rFonts w:ascii="Arial" w:eastAsia="Arial" w:hAnsi="Arial" w:cs="Arial"/>
          <w:b/>
          <w:bCs/>
        </w:rPr>
        <w:t xml:space="preserve"> AI – Agentes Autônomos Reescrevendo os Processos de Negócio no Brasil”</w:t>
      </w:r>
      <w:r w:rsidRPr="00717DC1">
        <w:rPr>
          <w:rFonts w:ascii="Arial" w:eastAsia="Arial" w:hAnsi="Arial" w:cs="Arial"/>
        </w:rPr>
        <w:t xml:space="preserve">, </w:t>
      </w:r>
      <w:r w:rsidRPr="00717DC1">
        <w:rPr>
          <w:rFonts w:ascii="Arial" w:eastAsia="Arial" w:hAnsi="Arial" w:cs="Arial"/>
          <w:b/>
          <w:bCs/>
        </w:rPr>
        <w:t xml:space="preserve">no Palco 1 – AI &amp; Data </w:t>
      </w:r>
      <w:proofErr w:type="spellStart"/>
      <w:r w:rsidRPr="00717DC1">
        <w:rPr>
          <w:rFonts w:ascii="Arial" w:eastAsia="Arial" w:hAnsi="Arial" w:cs="Arial"/>
          <w:b/>
          <w:bCs/>
        </w:rPr>
        <w:t>Economy</w:t>
      </w:r>
      <w:proofErr w:type="spellEnd"/>
      <w:r w:rsidRPr="00717DC1">
        <w:rPr>
          <w:rFonts w:ascii="Arial" w:eastAsia="Arial" w:hAnsi="Arial" w:cs="Arial"/>
          <w:b/>
          <w:bCs/>
        </w:rPr>
        <w:t>, às 15h20</w:t>
      </w:r>
      <w:r w:rsidRPr="00717DC1">
        <w:rPr>
          <w:rFonts w:ascii="Arial" w:eastAsia="Arial" w:hAnsi="Arial" w:cs="Arial"/>
        </w:rPr>
        <w:t xml:space="preserve">. O debate abordará a evolução dos </w:t>
      </w:r>
      <w:proofErr w:type="spellStart"/>
      <w:r w:rsidRPr="00717DC1">
        <w:rPr>
          <w:rFonts w:ascii="Arial" w:eastAsia="Arial" w:hAnsi="Arial" w:cs="Arial"/>
        </w:rPr>
        <w:t>chatbots</w:t>
      </w:r>
      <w:proofErr w:type="spellEnd"/>
      <w:r w:rsidRPr="00717DC1">
        <w:rPr>
          <w:rFonts w:ascii="Arial" w:eastAsia="Arial" w:hAnsi="Arial" w:cs="Arial"/>
        </w:rPr>
        <w:t xml:space="preserve"> para agentes autônomos, casos de aplicação em finanças, varejo e telecomunicações, além dos desafios relacionados à infraestrutura de dados, riscos e governança. Participam também </w:t>
      </w:r>
      <w:proofErr w:type="spellStart"/>
      <w:r w:rsidRPr="00717DC1">
        <w:rPr>
          <w:rFonts w:ascii="Arial" w:eastAsia="Arial" w:hAnsi="Arial" w:cs="Arial"/>
        </w:rPr>
        <w:t>Lyzbeth</w:t>
      </w:r>
      <w:proofErr w:type="spellEnd"/>
      <w:r w:rsidRPr="00717DC1">
        <w:rPr>
          <w:rFonts w:ascii="Arial" w:eastAsia="Arial" w:hAnsi="Arial" w:cs="Arial"/>
        </w:rPr>
        <w:t xml:space="preserve"> </w:t>
      </w:r>
      <w:proofErr w:type="spellStart"/>
      <w:r w:rsidRPr="00717DC1">
        <w:rPr>
          <w:rFonts w:ascii="Arial" w:eastAsia="Arial" w:hAnsi="Arial" w:cs="Arial"/>
        </w:rPr>
        <w:t>Cronembold</w:t>
      </w:r>
      <w:proofErr w:type="spellEnd"/>
      <w:r w:rsidRPr="00717DC1">
        <w:rPr>
          <w:rFonts w:ascii="Arial" w:eastAsia="Arial" w:hAnsi="Arial" w:cs="Arial"/>
        </w:rPr>
        <w:t xml:space="preserve">, fundadora e CEO da </w:t>
      </w:r>
      <w:proofErr w:type="spellStart"/>
      <w:r w:rsidRPr="00717DC1">
        <w:rPr>
          <w:rFonts w:ascii="Arial" w:eastAsia="Arial" w:hAnsi="Arial" w:cs="Arial"/>
        </w:rPr>
        <w:t>Changers</w:t>
      </w:r>
      <w:proofErr w:type="spellEnd"/>
      <w:r w:rsidRPr="00717DC1">
        <w:rPr>
          <w:rFonts w:ascii="Arial" w:eastAsia="Arial" w:hAnsi="Arial" w:cs="Arial"/>
        </w:rPr>
        <w:t>, Rodrigo Murta, CTO do Grupo Heineken, e Humberto Moises, diretor de Tecnologia da Informação e Digital para a América Latina da Reckitt.</w:t>
      </w:r>
    </w:p>
    <w:p w14:paraId="3DB66F0D" w14:textId="77777777" w:rsidR="00717DC1" w:rsidRP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</w:p>
    <w:p w14:paraId="2FE6BF37" w14:textId="77777777" w:rsid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  <w:r w:rsidRPr="00717DC1">
        <w:rPr>
          <w:rFonts w:ascii="Arial" w:eastAsia="Arial" w:hAnsi="Arial" w:cs="Arial"/>
        </w:rPr>
        <w:t xml:space="preserve">A participação de Elisa Pereira integra a programação do </w:t>
      </w:r>
      <w:r w:rsidRPr="00717DC1">
        <w:rPr>
          <w:rFonts w:ascii="Arial" w:eastAsia="Arial" w:hAnsi="Arial" w:cs="Arial"/>
          <w:b/>
          <w:bCs/>
        </w:rPr>
        <w:t>Futurecom 2026</w:t>
      </w:r>
      <w:r w:rsidRPr="00717DC1">
        <w:rPr>
          <w:rFonts w:ascii="Arial" w:eastAsia="Arial" w:hAnsi="Arial" w:cs="Arial"/>
        </w:rPr>
        <w:t>, que reunirá cerca de 30 mil visitantes e 400 palestrantes, com mais de 93 horas de conteúdo sobre inteligência artificial, conectividade, infraestrutura digital, cibersegurança, regulação e transformação dos negócios.</w:t>
      </w:r>
    </w:p>
    <w:p w14:paraId="14BBC2DA" w14:textId="77777777" w:rsidR="00717DC1" w:rsidRPr="00717DC1" w:rsidRDefault="00717DC1" w:rsidP="00717DC1">
      <w:pPr>
        <w:spacing w:line="240" w:lineRule="auto"/>
        <w:ind w:firstLine="708"/>
        <w:rPr>
          <w:rFonts w:ascii="Arial" w:eastAsia="Arial" w:hAnsi="Arial" w:cs="Arial"/>
        </w:rPr>
      </w:pPr>
    </w:p>
    <w:p w14:paraId="5CF2B0DC" w14:textId="77777777" w:rsidR="00717DC1" w:rsidRPr="0027487A" w:rsidRDefault="00717DC1" w:rsidP="00717DC1">
      <w:pPr>
        <w:spacing w:line="240" w:lineRule="auto"/>
        <w:ind w:firstLine="708"/>
        <w:rPr>
          <w:rFonts w:ascii="Arial" w:hAnsi="Arial" w:cs="Arial"/>
        </w:rPr>
      </w:pPr>
      <w:r w:rsidRPr="0027487A">
        <w:rPr>
          <w:rFonts w:ascii="Arial" w:hAnsi="Arial" w:cs="Arial"/>
        </w:rPr>
        <w:t xml:space="preserve">Os ingressos para visitação e para o </w:t>
      </w:r>
      <w:r w:rsidRPr="0027487A">
        <w:rPr>
          <w:rFonts w:ascii="Arial" w:hAnsi="Arial" w:cs="Arial"/>
          <w:b/>
          <w:bCs/>
        </w:rPr>
        <w:t>congresso</w:t>
      </w:r>
      <w:r w:rsidRPr="0027487A">
        <w:rPr>
          <w:rFonts w:ascii="Arial" w:hAnsi="Arial" w:cs="Arial"/>
        </w:rPr>
        <w:t xml:space="preserve"> podem ser adquiridos pelo site oficial do </w:t>
      </w:r>
      <w:r w:rsidRPr="0027487A">
        <w:rPr>
          <w:rFonts w:ascii="Arial" w:hAnsi="Arial" w:cs="Arial"/>
          <w:b/>
          <w:bCs/>
        </w:rPr>
        <w:t>Futurecom</w:t>
      </w:r>
      <w:r w:rsidRPr="0027487A">
        <w:rPr>
          <w:rFonts w:ascii="Arial" w:hAnsi="Arial" w:cs="Arial"/>
        </w:rPr>
        <w:t xml:space="preserve">: </w:t>
      </w:r>
      <w:hyperlink r:id="rId8" w:tgtFrame="_new" w:history="1">
        <w:r w:rsidRPr="0027487A">
          <w:rPr>
            <w:rStyle w:val="Hyperlink"/>
            <w:rFonts w:ascii="Arial" w:hAnsi="Arial" w:cs="Arial"/>
          </w:rPr>
          <w:t>www.futurecom.com.br</w:t>
        </w:r>
      </w:hyperlink>
      <w:r w:rsidRPr="0027487A">
        <w:rPr>
          <w:rFonts w:ascii="Arial" w:hAnsi="Arial" w:cs="Arial"/>
        </w:rPr>
        <w:t>.</w:t>
      </w:r>
    </w:p>
    <w:p w14:paraId="4F6E4834" w14:textId="77777777" w:rsidR="006B0BBC" w:rsidRDefault="006B0BBC">
      <w:pPr>
        <w:spacing w:line="240" w:lineRule="auto"/>
        <w:rPr>
          <w:rFonts w:ascii="Arial" w:eastAsia="Arial" w:hAnsi="Arial" w:cs="Arial"/>
        </w:rPr>
      </w:pPr>
    </w:p>
    <w:p w14:paraId="54D4C6E2" w14:textId="77777777" w:rsidR="006B0BBC" w:rsidRDefault="006B0BBC">
      <w:pPr>
        <w:spacing w:line="240" w:lineRule="auto"/>
        <w:rPr>
          <w:rFonts w:ascii="Arial" w:eastAsia="Arial" w:hAnsi="Arial" w:cs="Arial"/>
          <w:b/>
          <w:bCs/>
        </w:rPr>
      </w:pPr>
    </w:p>
    <w:p w14:paraId="1BD63A5A" w14:textId="77777777" w:rsidR="00717DC1" w:rsidRPr="005670F6" w:rsidRDefault="00717DC1" w:rsidP="00717DC1">
      <w:pPr>
        <w:spacing w:line="240" w:lineRule="auto"/>
        <w:rPr>
          <w:rFonts w:ascii="Arial" w:hAnsi="Arial" w:cs="Arial"/>
          <w:b/>
          <w:bCs/>
        </w:rPr>
      </w:pPr>
      <w:r w:rsidRPr="005670F6">
        <w:rPr>
          <w:rFonts w:ascii="Arial" w:hAnsi="Arial" w:cs="Arial"/>
          <w:b/>
          <w:bCs/>
        </w:rPr>
        <w:t>ANOTE NA AGENDA</w:t>
      </w:r>
    </w:p>
    <w:p w14:paraId="04894E2A" w14:textId="77777777" w:rsidR="00717DC1" w:rsidRPr="005670F6" w:rsidRDefault="00717DC1" w:rsidP="00717DC1">
      <w:pPr>
        <w:spacing w:line="240" w:lineRule="auto"/>
        <w:rPr>
          <w:rFonts w:ascii="Arial" w:hAnsi="Arial" w:cs="Arial"/>
          <w:b/>
          <w:bCs/>
        </w:rPr>
      </w:pPr>
      <w:r w:rsidRPr="005670F6">
        <w:rPr>
          <w:rFonts w:ascii="Arial" w:hAnsi="Arial" w:cs="Arial"/>
          <w:b/>
          <w:bCs/>
        </w:rPr>
        <w:t>Futurecom 2026</w:t>
      </w:r>
    </w:p>
    <w:p w14:paraId="22884EF7" w14:textId="77777777" w:rsidR="00717DC1" w:rsidRPr="005670F6" w:rsidRDefault="00717DC1" w:rsidP="00717DC1">
      <w:pPr>
        <w:spacing w:line="240" w:lineRule="auto"/>
        <w:rPr>
          <w:rFonts w:ascii="Arial" w:hAnsi="Arial" w:cs="Arial"/>
        </w:rPr>
      </w:pPr>
      <w:r w:rsidRPr="005670F6">
        <w:rPr>
          <w:rFonts w:ascii="Arial" w:hAnsi="Arial" w:cs="Arial"/>
          <w:b/>
          <w:bCs/>
        </w:rPr>
        <w:t>Data:</w:t>
      </w:r>
      <w:r w:rsidRPr="005670F6">
        <w:rPr>
          <w:rFonts w:ascii="Arial" w:hAnsi="Arial" w:cs="Arial"/>
        </w:rPr>
        <w:t xml:space="preserve"> 6 a 8 de outubro de 2026</w:t>
      </w:r>
    </w:p>
    <w:p w14:paraId="624A2BED" w14:textId="77777777" w:rsidR="00717DC1" w:rsidRPr="005670F6" w:rsidRDefault="00717DC1" w:rsidP="00717DC1">
      <w:pPr>
        <w:spacing w:line="240" w:lineRule="auto"/>
        <w:rPr>
          <w:rFonts w:ascii="Arial" w:hAnsi="Arial" w:cs="Arial"/>
        </w:rPr>
      </w:pPr>
      <w:r w:rsidRPr="005670F6">
        <w:rPr>
          <w:rFonts w:ascii="Arial" w:hAnsi="Arial" w:cs="Arial"/>
          <w:b/>
          <w:bCs/>
        </w:rPr>
        <w:t>Local:</w:t>
      </w:r>
      <w:r w:rsidRPr="005670F6">
        <w:rPr>
          <w:rFonts w:ascii="Arial" w:hAnsi="Arial" w:cs="Arial"/>
        </w:rPr>
        <w:t xml:space="preserve"> São Paulo Expo – São Paulo (SP)</w:t>
      </w:r>
    </w:p>
    <w:p w14:paraId="528406E7" w14:textId="77777777" w:rsidR="00717DC1" w:rsidRDefault="00717DC1" w:rsidP="00717DC1">
      <w:pPr>
        <w:spacing w:line="240" w:lineRule="auto"/>
        <w:jc w:val="left"/>
        <w:rPr>
          <w:rFonts w:ascii="Arial" w:hAnsi="Arial" w:cs="Arial"/>
          <w:b/>
          <w:bCs/>
        </w:rPr>
      </w:pPr>
      <w:r w:rsidRPr="00316BF2">
        <w:rPr>
          <w:rFonts w:ascii="Arial" w:hAnsi="Arial" w:cs="Arial"/>
          <w:b/>
          <w:bCs/>
        </w:rPr>
        <w:t xml:space="preserve">Horário do Congresso: </w:t>
      </w:r>
      <w:r w:rsidRPr="00316BF2">
        <w:rPr>
          <w:rFonts w:ascii="Arial" w:hAnsi="Arial" w:cs="Arial"/>
        </w:rPr>
        <w:t>das 9h às 18h</w:t>
      </w:r>
      <w:r w:rsidRPr="00316BF2">
        <w:rPr>
          <w:rFonts w:ascii="Arial" w:hAnsi="Arial" w:cs="Arial"/>
          <w:b/>
          <w:bCs/>
        </w:rPr>
        <w:br/>
        <w:t xml:space="preserve">Horário da exposição: </w:t>
      </w:r>
      <w:r w:rsidRPr="00316BF2">
        <w:rPr>
          <w:rFonts w:ascii="Arial" w:hAnsi="Arial" w:cs="Arial"/>
        </w:rPr>
        <w:t>das 10h às 20h</w:t>
      </w:r>
    </w:p>
    <w:p w14:paraId="2E09A3A9" w14:textId="77777777" w:rsidR="00717DC1" w:rsidRDefault="00717DC1" w:rsidP="00717DC1">
      <w:pPr>
        <w:spacing w:line="240" w:lineRule="auto"/>
        <w:rPr>
          <w:rFonts w:ascii="Arial" w:hAnsi="Arial" w:cs="Arial"/>
        </w:rPr>
      </w:pPr>
      <w:r w:rsidRPr="005670F6">
        <w:rPr>
          <w:rFonts w:ascii="Arial" w:hAnsi="Arial" w:cs="Arial"/>
          <w:b/>
          <w:bCs/>
        </w:rPr>
        <w:t>Endereço:</w:t>
      </w:r>
      <w:r w:rsidRPr="005670F6">
        <w:rPr>
          <w:rFonts w:ascii="Arial" w:hAnsi="Arial" w:cs="Arial"/>
        </w:rPr>
        <w:t xml:space="preserve"> Rodovia dos Imigrantes, km 1,5 – Vila Água Funda – São Paulo</w:t>
      </w:r>
    </w:p>
    <w:p w14:paraId="42D858C5" w14:textId="77777777" w:rsidR="00717DC1" w:rsidRDefault="00717DC1" w:rsidP="00717DC1">
      <w:pPr>
        <w:spacing w:line="240" w:lineRule="auto"/>
        <w:rPr>
          <w:rFonts w:ascii="Arial" w:hAnsi="Arial" w:cs="Arial"/>
        </w:rPr>
      </w:pPr>
    </w:p>
    <w:p w14:paraId="00D25742" w14:textId="77777777" w:rsidR="00717DC1" w:rsidRDefault="00717DC1" w:rsidP="00717DC1">
      <w:pPr>
        <w:spacing w:line="240" w:lineRule="auto"/>
        <w:rPr>
          <w:rFonts w:ascii="Arial" w:hAnsi="Arial" w:cs="Arial"/>
        </w:rPr>
      </w:pPr>
    </w:p>
    <w:p w14:paraId="7A3866F7" w14:textId="77777777" w:rsidR="006B0BBC" w:rsidRDefault="006B0BBC">
      <w:pPr>
        <w:spacing w:line="240" w:lineRule="auto"/>
        <w:rPr>
          <w:rFonts w:ascii="Arial" w:eastAsia="Arial" w:hAnsi="Arial" w:cs="Arial"/>
        </w:rPr>
      </w:pPr>
    </w:p>
    <w:p w14:paraId="60D30BDD" w14:textId="77777777" w:rsidR="006B0BB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72"/>
        </w:tabs>
        <w:spacing w:line="240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Sobre o Futurecom</w:t>
      </w:r>
    </w:p>
    <w:p w14:paraId="1B7AFA20" w14:textId="77777777" w:rsidR="006B0BB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 Futurecom é uma plataforma B2B dinâmica que opera o ano todo oferecendo ao mercado soluções de conectividade e tecnologia para diversos setores da economia. Como líder na integração do setor de TIC, o Futurecom se posiciona como um hub essencial para negócios e inovação, facilitando a conexão entre empresas, startups e profissionais de tecnologia e telecomunicações, por meio de uma série de ações e iniciativas. Com uma visão abrangente dos desafios e oportunidades nos setores da indústria, logística, mineração, agronegócio, saúde e energia, o Futurecom proporciona acesso contínuo a tecnologias de ponta, tendências de mercado e insights estratégicos. </w:t>
      </w:r>
    </w:p>
    <w:p w14:paraId="57DA531F" w14:textId="77777777" w:rsidR="006B0BBC" w:rsidRDefault="006B0B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b/>
          <w:bCs/>
          <w:color w:val="000000"/>
        </w:rPr>
      </w:pPr>
    </w:p>
    <w:p w14:paraId="6DB3C09F" w14:textId="77777777" w:rsidR="006B0BB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Sobre a Informa </w:t>
      </w:r>
      <w:proofErr w:type="spellStart"/>
      <w:r>
        <w:rPr>
          <w:rFonts w:ascii="Arial" w:eastAsia="Arial" w:hAnsi="Arial" w:cs="Arial"/>
          <w:b/>
          <w:bCs/>
          <w:color w:val="000000"/>
        </w:rPr>
        <w:t>Markets</w:t>
      </w:r>
      <w:proofErr w:type="spellEnd"/>
    </w:p>
    <w:p w14:paraId="23F19756" w14:textId="77777777" w:rsidR="006B0BBC" w:rsidRDefault="00000000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 Informa conecta pessoas e mercados por meio de soluções digitais, conteúdo especializado, feiras de negócios, eventos híbridos e inteligência de mercado, construindo uma jornada de relacionamento e negócios entre empresas e mercados 365 dias por ano. Presente em mais de 30 países, atua na América Latina há 30 anos entregando anualmente mais de 40 eventos híbridos no Brasil e no México, dezenas de eventos digitais, portais de notícia e plataformas digitais de conexão e negócios.   </w:t>
      </w:r>
    </w:p>
    <w:p w14:paraId="06479696" w14:textId="77777777" w:rsidR="006B0BBC" w:rsidRDefault="006B0B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</w:rPr>
      </w:pPr>
    </w:p>
    <w:p w14:paraId="0368B1E4" w14:textId="77777777" w:rsidR="006B0BB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left"/>
        <w:rPr>
          <w:rFonts w:ascii="Arial" w:eastAsia="Arial" w:hAnsi="Arial" w:cs="Arial"/>
          <w:b/>
          <w:bCs/>
          <w:color w:val="000000"/>
          <w:u w:val="single"/>
        </w:rPr>
      </w:pPr>
      <w:r>
        <w:rPr>
          <w:rFonts w:ascii="Arial" w:eastAsia="Arial" w:hAnsi="Arial" w:cs="Arial"/>
          <w:b/>
          <w:bCs/>
          <w:color w:val="000000"/>
          <w:u w:val="single"/>
        </w:rPr>
        <w:t>Assessoria de Imprensa Futurecom</w:t>
      </w:r>
    </w:p>
    <w:p w14:paraId="627D308C" w14:textId="77777777" w:rsidR="006B0BB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DFREIRE Comunicação e Negócios</w:t>
      </w:r>
      <w:r>
        <w:rPr>
          <w:rFonts w:ascii="Arial" w:eastAsia="Arial" w:hAnsi="Arial" w:cs="Arial"/>
          <w:color w:val="000000"/>
        </w:rPr>
        <w:t xml:space="preserve"> - Tel.: (11) 97399-0031 WhatsApp</w:t>
      </w:r>
    </w:p>
    <w:p w14:paraId="77BC57F4" w14:textId="77777777" w:rsidR="006B0BB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Debora Freire – </w:t>
      </w:r>
      <w:hyperlink r:id="rId9">
        <w:r>
          <w:rPr>
            <w:rFonts w:ascii="Arial" w:eastAsia="Arial" w:hAnsi="Arial" w:cs="Arial"/>
            <w:color w:val="467886"/>
            <w:u w:val="single"/>
          </w:rPr>
          <w:t>debora@dfreire.com.br</w:t>
        </w:r>
      </w:hyperlink>
      <w:r>
        <w:rPr>
          <w:rFonts w:ascii="Arial" w:eastAsia="Arial" w:hAnsi="Arial" w:cs="Arial"/>
          <w:color w:val="000000"/>
        </w:rPr>
        <w:t xml:space="preserve"> – (11) 99976-1165</w:t>
      </w:r>
    </w:p>
    <w:p w14:paraId="0F871777" w14:textId="77777777" w:rsidR="006B0BB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Luciana Abritta – </w:t>
      </w:r>
      <w:hyperlink r:id="rId10">
        <w:r>
          <w:rPr>
            <w:rFonts w:ascii="Arial" w:eastAsia="Arial" w:hAnsi="Arial" w:cs="Arial"/>
            <w:color w:val="467886"/>
            <w:u w:val="single"/>
          </w:rPr>
          <w:t>lucianaabritta@dfreire.com.br</w:t>
        </w:r>
      </w:hyperlink>
      <w:r>
        <w:rPr>
          <w:rFonts w:ascii="Arial" w:eastAsia="Arial" w:hAnsi="Arial" w:cs="Arial"/>
          <w:color w:val="000000"/>
        </w:rPr>
        <w:t> – (11) 99299-0411</w:t>
      </w:r>
    </w:p>
    <w:p w14:paraId="4C9BF264" w14:textId="77777777" w:rsidR="006B0BB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Elisabete Leandro – </w:t>
      </w:r>
      <w:hyperlink r:id="rId11">
        <w:r>
          <w:rPr>
            <w:rFonts w:ascii="Arial" w:eastAsia="Arial" w:hAnsi="Arial" w:cs="Arial"/>
            <w:color w:val="467886"/>
            <w:u w:val="single"/>
          </w:rPr>
          <w:t>beteleandro@dfreire.com.br</w:t>
        </w:r>
      </w:hyperlink>
      <w:r>
        <w:rPr>
          <w:rFonts w:ascii="Arial" w:eastAsia="Arial" w:hAnsi="Arial" w:cs="Arial"/>
          <w:color w:val="000000"/>
        </w:rPr>
        <w:t xml:space="preserve"> – (11) 99616-2885</w:t>
      </w:r>
    </w:p>
    <w:p w14:paraId="15AECF15" w14:textId="77777777" w:rsidR="006B0BBC" w:rsidRDefault="006B0BBC">
      <w:pPr>
        <w:spacing w:line="240" w:lineRule="auto"/>
        <w:rPr>
          <w:rFonts w:ascii="Calibri" w:eastAsia="Calibri" w:hAnsi="Calibri" w:cs="Calibri"/>
        </w:rPr>
      </w:pPr>
    </w:p>
    <w:sectPr w:rsidR="006B0BBC">
      <w:headerReference w:type="first" r:id="rId12"/>
      <w:pgSz w:w="11906" w:h="16838"/>
      <w:pgMar w:top="1417" w:right="1701" w:bottom="1417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A6FBF" w14:textId="77777777" w:rsidR="00F94C35" w:rsidRDefault="00F94C35">
      <w:pPr>
        <w:spacing w:line="240" w:lineRule="auto"/>
      </w:pPr>
      <w:r>
        <w:separator/>
      </w:r>
    </w:p>
  </w:endnote>
  <w:endnote w:type="continuationSeparator" w:id="0">
    <w:p w14:paraId="561ACA32" w14:textId="77777777" w:rsidR="00F94C35" w:rsidRDefault="00F94C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5DE5C5F-28E5-4618-9F9A-17A456914F04}"/>
    <w:embedBold r:id="rId2" w:fontKey="{64C3231C-59CC-4497-A632-BC7AEA61AB8C}"/>
    <w:embedItalic r:id="rId3" w:fontKey="{76626271-1D30-4456-A80E-B115FEA6CCE3}"/>
  </w:font>
  <w:font w:name="Play">
    <w:charset w:val="00"/>
    <w:family w:val="auto"/>
    <w:pitch w:val="default"/>
    <w:embedRegular r:id="rId4" w:fontKey="{006CCCB8-5D50-4EFE-B6E6-19E365E40F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334FA55A-EC48-4DD5-B900-AA9065F962B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D1CC40B-1170-46A2-BFDA-D3C26A63A38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8A4D9" w14:textId="77777777" w:rsidR="00F94C35" w:rsidRDefault="00F94C35">
      <w:pPr>
        <w:spacing w:line="240" w:lineRule="auto"/>
      </w:pPr>
      <w:r>
        <w:separator/>
      </w:r>
    </w:p>
  </w:footnote>
  <w:footnote w:type="continuationSeparator" w:id="0">
    <w:p w14:paraId="3F80CACE" w14:textId="77777777" w:rsidR="00F94C35" w:rsidRDefault="00F94C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5579F" w14:textId="77777777" w:rsidR="006B0B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7C592F2" wp14:editId="41A2EFA2">
          <wp:extent cx="1641603" cy="340907"/>
          <wp:effectExtent l="0" t="0" r="0" b="0"/>
          <wp:docPr id="191974256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1603" cy="3409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                                        </w:t>
    </w:r>
    <w:r>
      <w:rPr>
        <w:noProof/>
        <w:color w:val="000000"/>
      </w:rPr>
      <w:drawing>
        <wp:inline distT="0" distB="0" distL="0" distR="0" wp14:anchorId="22CFE9A7" wp14:editId="1D43704E">
          <wp:extent cx="607924" cy="607924"/>
          <wp:effectExtent l="0" t="0" r="0" b="0"/>
          <wp:docPr id="191974256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l="12865" t="11845" r="11845" b="12865"/>
                  <a:stretch>
                    <a:fillRect/>
                  </a:stretch>
                </pic:blipFill>
                <pic:spPr>
                  <a:xfrm>
                    <a:off x="0" y="0"/>
                    <a:ext cx="607924" cy="6079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05F4155" w14:textId="77777777" w:rsidR="006B0BBC" w:rsidRDefault="006B0BB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BBC"/>
    <w:rsid w:val="006B0BBC"/>
    <w:rsid w:val="00717DC1"/>
    <w:rsid w:val="008201AC"/>
    <w:rsid w:val="00C20F7A"/>
    <w:rsid w:val="00EA5264"/>
    <w:rsid w:val="00F9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D8667"/>
  <w15:docId w15:val="{ED8099F5-A0C0-4BA1-BBB0-19F341CF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A66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A66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A66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CA66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CA66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CA6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CA66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CA666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CA66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A66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A66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A666D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CA6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CA6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A66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A666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A666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A666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A6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A666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A66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471F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471FC"/>
    <w:rPr>
      <w:color w:val="605E5C"/>
      <w:shd w:val="clear" w:color="auto" w:fill="E1DFDD"/>
    </w:rPr>
  </w:style>
  <w:style w:type="paragraph" w:styleId="NormalWeb">
    <w:name w:val="Normal (Web)"/>
    <w:basedOn w:val="Normal"/>
    <w:link w:val="NormalWebChar"/>
    <w:uiPriority w:val="99"/>
    <w:unhideWhenUsed/>
    <w:rsid w:val="002471F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471FC"/>
    <w:rPr>
      <w:b/>
      <w:bCs/>
    </w:rPr>
  </w:style>
  <w:style w:type="character" w:customStyle="1" w:styleId="NormalWebChar">
    <w:name w:val="Normal (Web) Char"/>
    <w:link w:val="NormalWeb"/>
    <w:uiPriority w:val="99"/>
    <w:locked/>
    <w:rsid w:val="002471FC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178F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78F3"/>
  </w:style>
  <w:style w:type="paragraph" w:styleId="Rodap">
    <w:name w:val="footer"/>
    <w:basedOn w:val="Normal"/>
    <w:link w:val="RodapChar"/>
    <w:uiPriority w:val="99"/>
    <w:unhideWhenUsed/>
    <w:rsid w:val="009178F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78F3"/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character" w:styleId="HiperlinkVisitado">
    <w:name w:val="FollowedHyperlink"/>
    <w:basedOn w:val="Fontepargpadro"/>
    <w:uiPriority w:val="99"/>
    <w:semiHidden/>
    <w:unhideWhenUsed/>
    <w:rsid w:val="00717DC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turecom.com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beteleandro@dfreire.com.br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lucianaabritta@dfreire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bora@dfreire.com.br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rwEPe7f6W4OZj/7HK1lTSymCg==">CgMxLjA4AHIhMU1zR3poeUJ5UGswZ2lWNng0UzhXRzF4VUV1djhrVkd1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CB5DE53F7557048BA63FF6C7C1849B6" ma:contentTypeVersion="14" ma:contentTypeDescription="Crie um novo documento." ma:contentTypeScope="" ma:versionID="7e6b877f7b091b95e277a3ed7b66a29b">
  <xsd:schema xmlns:xsd="http://www.w3.org/2001/XMLSchema" xmlns:xs="http://www.w3.org/2001/XMLSchema" xmlns:p="http://schemas.microsoft.com/office/2006/metadata/properties" xmlns:ns2="21ef401d-a6dc-43c6-9105-4f346ad357c8" xmlns:ns3="98c66b2c-9b42-4a61-bfa8-cddeadbc3867" targetNamespace="http://schemas.microsoft.com/office/2006/metadata/properties" ma:root="true" ma:fieldsID="686129b3a7fb1927233b6127ced4dde3" ns2:_="" ns3:_="">
    <xsd:import namespace="21ef401d-a6dc-43c6-9105-4f346ad357c8"/>
    <xsd:import namespace="98c66b2c-9b42-4a61-bfa8-cddeadbc386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f401d-a6dc-43c6-9105-4f346ad357c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66b2c-9b42-4a61-bfa8-cddeadbc386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9c9558a-f1eb-436f-9f44-3eb7d576b73a}" ma:internalName="TaxCatchAll" ma:showField="CatchAllData" ma:web="98c66b2c-9b42-4a61-bfa8-cddeadbc3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ef401d-a6dc-43c6-9105-4f346ad357c8">
      <Terms xmlns="http://schemas.microsoft.com/office/infopath/2007/PartnerControls"/>
    </lcf76f155ced4ddcb4097134ff3c332f>
    <TaxCatchAll xmlns="98c66b2c-9b42-4a61-bfa8-cddeadbc3867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B6E9E6D-F74D-4B2B-A377-B67218FE0D9D}"/>
</file>

<file path=customXml/itemProps3.xml><?xml version="1.0" encoding="utf-8"?>
<ds:datastoreItem xmlns:ds="http://schemas.openxmlformats.org/officeDocument/2006/customXml" ds:itemID="{5655CD36-BF2A-417E-A6F1-A0116200C4F7}"/>
</file>

<file path=customXml/itemProps4.xml><?xml version="1.0" encoding="utf-8"?>
<ds:datastoreItem xmlns:ds="http://schemas.openxmlformats.org/officeDocument/2006/customXml" ds:itemID="{1A211A67-9EBE-44BB-A3BF-9A4768965D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796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Elisabete Leandro - DFreire</dc:creator>
  <cp:lastModifiedBy>Elisabete Leandro - DFreire</cp:lastModifiedBy>
  <cp:revision>3</cp:revision>
  <dcterms:created xsi:type="dcterms:W3CDTF">2026-09-01T21:24:00Z</dcterms:created>
  <dcterms:modified xsi:type="dcterms:W3CDTF">2026-09-10T15:04:00Z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0x0101005CB5DE53F7557048BA63FF6C7C1849B6</vt:lpwstr>
  </property>
</Properties>
</file>